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1500"/>
      </w:pPr>
      <w:r>
        <w:rPr>
          <w:rFonts w:ascii="Calibri" w:cs="Calibri" w:eastAsia="Calibri" w:hAnsi="Calibri"/>
          <w:b/>
          <w:bCs/>
          <w:color w:val="17517D"/>
          <w:spacing w:val="40"/>
          <w:sz w:val="18"/>
          <w:szCs w:val="18"/>
        </w:rPr>
        <w:t xml:space="preserve">MY CISO PARTNER  ·  SOC 2 TOOLKIT</w:t>
      </w:r>
    </w:p>
    <w:p>
      <w:pPr>
        <w:pBdr>
          <w:bottom w:val="single" w:color="2BD6E6" w:sz="18" w:space="8"/>
        </w:pBdr>
        <w:spacing w:after="240" w:before="200"/>
      </w:pPr>
    </w:p>
    <w:p>
      <w:pPr>
        <w:spacing w:after="60"/>
      </w:pPr>
      <w:r>
        <w:rPr>
          <w:rFonts w:ascii="Calibri" w:cs="Calibri" w:eastAsia="Calibri" w:hAnsi="Calibri"/>
          <w:b/>
          <w:bCs/>
          <w:color w:val="0E3656"/>
          <w:sz w:val="46"/>
          <w:szCs w:val="46"/>
        </w:rPr>
        <w:t xml:space="preserve">Incident Response Policy</w:t>
      </w:r>
    </w:p>
    <w:p>
      <w:pPr>
        <w:spacing w:after="40"/>
      </w:pPr>
      <w:r>
        <w:rPr>
          <w:rFonts w:ascii="Calibri" w:cs="Calibri" w:eastAsia="Calibri" w:hAnsi="Calibri"/>
          <w:color w:val="1B2733"/>
          <w:sz w:val="23"/>
          <w:szCs w:val="23"/>
        </w:rPr>
        <w:t xml:space="preserve">Policy Template</w:t>
      </w:r>
    </w:p>
    <w:p>
      <w:pPr>
        <w:spacing w:after="600"/>
      </w:pPr>
      <w:r>
        <w:rPr>
          <w:rFonts w:ascii="Calibri" w:cs="Calibri" w:eastAsia="Calibri" w:hAnsi="Calibri"/>
          <w:b/>
          <w:bCs/>
          <w:color w:val="17517D"/>
          <w:sz w:val="19"/>
          <w:szCs w:val="19"/>
        </w:rPr>
        <w:t xml:space="preserve">SOC 2 · aligned to SOC 2 Trust Services Criteria</w:t>
      </w:r>
    </w:p>
    <w:tbl>
      <w:tblPr>
        <w:tblW w:type="dxa" w:w="9360"/>
        <w:tblBorders>
          <w:top w:val="single" w:color="D7DEE5" w:sz="4"/>
          <w:left w:val="single" w:color="D7DEE5" w:sz="4"/>
          <w:bottom w:val="single" w:color="D7DEE5" w:sz="4"/>
          <w:right w:val="single" w:color="D7DEE5" w:sz="4"/>
          <w:insideH w:val="single" w:color="D7DEE5" w:sz="4"/>
          <w:insideV w:val="single" w:color="D7DEE5" w:sz="4"/>
        </w:tblBorders>
      </w:tblPr>
      <w:tblGrid>
        <w:gridCol w:w="3000"/>
        <w:gridCol w:w="6360"/>
      </w:tblGrid>
      <w:tr>
        <w:trPr>
          <w:tblHeader/>
        </w:trPr>
        <w:tc>
          <w:tcPr>
            <w:tcW w:type="dxa" w:w="3000"/>
            <w:shd w:fill="17517D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6360"/>
            <w:shd w:fill="17517D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[Company Name]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Policy owner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[Policy Owner / Role]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Approved by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[Approver / Title]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Effective date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[Effective Date]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Version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1.0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Next review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[Review Date — at least annually]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Classification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Internal</w:t>
            </w:r>
          </w:p>
        </w:tc>
      </w:tr>
    </w:tbl>
    <w:p>
      <w:r>
        <w:br w:type="page"/>
      </w:r>
    </w:p>
    <w:p>
      <w:pPr>
        <w:pStyle w:val="Heading1"/>
        <w:spacing w:after="110" w:before="300"/>
      </w:pPr>
      <w:r>
        <w:rPr>
          <w:rFonts w:ascii="Calibri" w:cs="Calibri" w:eastAsia="Calibri" w:hAnsi="Calibri"/>
          <w:b/>
          <w:bCs/>
          <w:color w:val="0E3656"/>
          <w:sz w:val="27"/>
          <w:szCs w:val="27"/>
        </w:rPr>
        <w:t xml:space="preserve">1. Purpose</w:t>
      </w:r>
    </w:p>
    <w:p>
      <w:pPr>
        <w:spacing w:after="120" w:line="276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This policy establishes [Company Name]’s approach to detecting, reporting, responding to, and learning from information security incidents.</w:t>
      </w:r>
    </w:p>
    <w:p>
      <w:pPr>
        <w:pStyle w:val="Heading1"/>
        <w:spacing w:after="110" w:before="300"/>
      </w:pPr>
      <w:r>
        <w:rPr>
          <w:rFonts w:ascii="Calibri" w:cs="Calibri" w:eastAsia="Calibri" w:hAnsi="Calibri"/>
          <w:b/>
          <w:bCs/>
          <w:color w:val="0E3656"/>
          <w:sz w:val="27"/>
          <w:szCs w:val="27"/>
        </w:rPr>
        <w:t xml:space="preserve">2. Scope</w:t>
      </w:r>
    </w:p>
    <w:p>
      <w:pPr>
        <w:spacing w:after="120" w:line="276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This policy applies to all employees, contractors, consultants, temporary staff, and third parties who access [Company Name] information, systems, applications, or facilities, and to all information assets owned or operated by the organization regardless of location or format.</w:t>
      </w:r>
    </w:p>
    <w:p>
      <w:pPr>
        <w:pStyle w:val="Heading1"/>
        <w:spacing w:after="110" w:before="300"/>
      </w:pPr>
      <w:r>
        <w:rPr>
          <w:rFonts w:ascii="Calibri" w:cs="Calibri" w:eastAsia="Calibri" w:hAnsi="Calibri"/>
          <w:b/>
          <w:bCs/>
          <w:color w:val="0E3656"/>
          <w:sz w:val="27"/>
          <w:szCs w:val="27"/>
        </w:rPr>
        <w:t xml:space="preserve">3. Policy</w:t>
      </w:r>
    </w:p>
    <w:p>
      <w:pPr>
        <w:pStyle w:val="Heading2"/>
        <w:spacing w:after="70" w:before="220"/>
      </w:pPr>
      <w:r>
        <w:rPr>
          <w:rFonts w:ascii="Calibri" w:cs="Calibri" w:eastAsia="Calibri" w:hAnsi="Calibri"/>
          <w:b/>
          <w:bCs/>
          <w:color w:val="17517D"/>
          <w:sz w:val="23"/>
          <w:szCs w:val="23"/>
        </w:rPr>
        <w:t xml:space="preserve">Reporting</w:t>
      </w:r>
    </w:p>
    <w:p>
      <w:pPr>
        <w:pStyle w:val="ListParagraph"/>
        <w:numPr>
          <w:ilvl w:val="0"/>
          <w:numId w:val="2"/>
        </w:numPr>
        <w:spacing w:after="55" w:line="262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All personnel must report suspected security incidents immediately to [security@company.com / IR channel].</w:t>
      </w:r>
    </w:p>
    <w:p>
      <w:pPr>
        <w:pStyle w:val="ListParagraph"/>
        <w:numPr>
          <w:ilvl w:val="0"/>
          <w:numId w:val="2"/>
        </w:numPr>
        <w:spacing w:after="55" w:line="262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Incidents are triaged and assigned a severity that drives the response timeline and escalation path.</w:t>
      </w:r>
    </w:p>
    <w:p>
      <w:pPr>
        <w:pStyle w:val="Heading2"/>
        <w:spacing w:after="70" w:before="220"/>
      </w:pPr>
      <w:r>
        <w:rPr>
          <w:rFonts w:ascii="Calibri" w:cs="Calibri" w:eastAsia="Calibri" w:hAnsi="Calibri"/>
          <w:b/>
          <w:bCs/>
          <w:color w:val="17517D"/>
          <w:sz w:val="23"/>
          <w:szCs w:val="23"/>
        </w:rPr>
        <w:t xml:space="preserve">Response lifecycle</w:t>
      </w:r>
    </w:p>
    <w:p>
      <w:pPr>
        <w:pStyle w:val="ListParagraph"/>
        <w:numPr>
          <w:ilvl w:val="0"/>
          <w:numId w:val="2"/>
        </w:numPr>
        <w:spacing w:after="55" w:line="262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The response follows defined phases: preparation, detection &amp; analysis, containment, eradication, recovery, and post-incident review.</w:t>
      </w:r>
    </w:p>
    <w:p>
      <w:pPr>
        <w:pStyle w:val="ListParagraph"/>
        <w:numPr>
          <w:ilvl w:val="0"/>
          <w:numId w:val="2"/>
        </w:numPr>
        <w:spacing w:after="55" w:line="262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An incident response team with defined roles leads the response; management and, where required, legal and communications are engaged.</w:t>
      </w:r>
    </w:p>
    <w:p>
      <w:pPr>
        <w:pStyle w:val="ListParagraph"/>
        <w:numPr>
          <w:ilvl w:val="0"/>
          <w:numId w:val="2"/>
        </w:numPr>
        <w:spacing w:after="55" w:line="262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Evidence is preserved to support investigation and any legal or regulatory obligations.</w:t>
      </w:r>
    </w:p>
    <w:p>
      <w:pPr>
        <w:pStyle w:val="Heading2"/>
        <w:spacing w:after="70" w:before="220"/>
      </w:pPr>
      <w:r>
        <w:rPr>
          <w:rFonts w:ascii="Calibri" w:cs="Calibri" w:eastAsia="Calibri" w:hAnsi="Calibri"/>
          <w:b/>
          <w:bCs/>
          <w:color w:val="17517D"/>
          <w:sz w:val="23"/>
          <w:szCs w:val="23"/>
        </w:rPr>
        <w:t xml:space="preserve">Notification &amp; lessons learned</w:t>
      </w:r>
    </w:p>
    <w:p>
      <w:pPr>
        <w:pStyle w:val="ListParagraph"/>
        <w:numPr>
          <w:ilvl w:val="0"/>
          <w:numId w:val="2"/>
        </w:numPr>
        <w:spacing w:after="55" w:line="262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Customer, partner, and regulatory notification obligations are assessed and met within required timeframes.</w:t>
      </w:r>
    </w:p>
    <w:p>
      <w:pPr>
        <w:pStyle w:val="ListParagraph"/>
        <w:numPr>
          <w:ilvl w:val="0"/>
          <w:numId w:val="2"/>
        </w:numPr>
        <w:spacing w:after="55" w:line="262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A post-incident review captures root cause and corrective actions; the IR plan is tested at least [annually].</w:t>
      </w:r>
    </w:p>
    <w:p>
      <w:pPr>
        <w:pStyle w:val="Heading1"/>
        <w:spacing w:after="110" w:before="300"/>
      </w:pPr>
      <w:r>
        <w:rPr>
          <w:rFonts w:ascii="Calibri" w:cs="Calibri" w:eastAsia="Calibri" w:hAnsi="Calibri"/>
          <w:b/>
          <w:bCs/>
          <w:color w:val="0E3656"/>
          <w:sz w:val="27"/>
          <w:szCs w:val="27"/>
        </w:rPr>
        <w:t xml:space="preserve">4. Roles &amp; Responsibilities</w:t>
      </w:r>
    </w:p>
    <w:tbl>
      <w:tblPr>
        <w:tblW w:type="dxa" w:w="9360"/>
        <w:tblBorders>
          <w:top w:val="single" w:color="D7DEE5" w:sz="4"/>
          <w:left w:val="single" w:color="D7DEE5" w:sz="4"/>
          <w:bottom w:val="single" w:color="D7DEE5" w:sz="4"/>
          <w:right w:val="single" w:color="D7DEE5" w:sz="4"/>
          <w:insideH w:val="single" w:color="D7DEE5" w:sz="4"/>
          <w:insideV w:val="single" w:color="D7DEE5" w:sz="4"/>
        </w:tblBorders>
      </w:tblPr>
      <w:tblGrid>
        <w:gridCol w:w="3000"/>
        <w:gridCol w:w="6360"/>
      </w:tblGrid>
      <w:tr>
        <w:trPr>
          <w:tblHeader/>
        </w:trPr>
        <w:tc>
          <w:tcPr>
            <w:tcW w:type="dxa" w:w="3000"/>
            <w:shd w:fill="17517D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6360"/>
            <w:shd w:fill="17517D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Responsibility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Policy owner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Maintains this policy, approves exceptions, and ensures it stays current.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Management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Provides resources and enforces the policy within their teams.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All personnel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Read, understand, and comply with this policy; report violations and incidents.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Information security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Monitors compliance, advises on controls, and supports investigations.</w:t>
            </w:r>
          </w:p>
        </w:tc>
      </w:tr>
    </w:tbl>
    <w:p>
      <w:pPr>
        <w:pStyle w:val="Heading1"/>
        <w:spacing w:after="110" w:before="300"/>
      </w:pPr>
      <w:r>
        <w:rPr>
          <w:rFonts w:ascii="Calibri" w:cs="Calibri" w:eastAsia="Calibri" w:hAnsi="Calibri"/>
          <w:b/>
          <w:bCs/>
          <w:color w:val="0E3656"/>
          <w:sz w:val="27"/>
          <w:szCs w:val="27"/>
        </w:rPr>
        <w:t xml:space="preserve">5. Compliance &amp; Enforcement</w:t>
      </w:r>
    </w:p>
    <w:p>
      <w:pPr>
        <w:spacing w:after="120" w:line="276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Compliance with this policy is mandatory. The [Policy Owner / Information Security] function will verify compliance through reviews, audits, and monitoring. Violations may result in disciplinary action up to and including termination of employment or contract, and — where applicable — civil or criminal penalties.</w:t>
      </w:r>
    </w:p>
    <w:p>
      <w:pPr>
        <w:pStyle w:val="Heading1"/>
        <w:spacing w:after="110" w:before="300"/>
      </w:pPr>
      <w:r>
        <w:rPr>
          <w:rFonts w:ascii="Calibri" w:cs="Calibri" w:eastAsia="Calibri" w:hAnsi="Calibri"/>
          <w:b/>
          <w:bCs/>
          <w:color w:val="0E3656"/>
          <w:sz w:val="27"/>
          <w:szCs w:val="27"/>
        </w:rPr>
        <w:t xml:space="preserve">6. Exceptions</w:t>
      </w:r>
    </w:p>
    <w:p>
      <w:pPr>
        <w:spacing w:after="120" w:line="276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Any exception to this policy must be requested in writing, include a business justification and compensating controls, be risk-assessed, and be approved by the [Policy Owner] (and [CISO / senior management] for high-risk exceptions). Approved exceptions are documented, time-bound, and reviewed at least [annually].</w:t>
      </w:r>
    </w:p>
    <w:p>
      <w:pPr>
        <w:pStyle w:val="Heading1"/>
        <w:spacing w:after="110" w:before="300"/>
      </w:pPr>
      <w:r>
        <w:rPr>
          <w:rFonts w:ascii="Calibri" w:cs="Calibri" w:eastAsia="Calibri" w:hAnsi="Calibri"/>
          <w:b/>
          <w:bCs/>
          <w:color w:val="0E3656"/>
          <w:sz w:val="27"/>
          <w:szCs w:val="27"/>
        </w:rPr>
        <w:t xml:space="preserve">7. Review &amp; Maintenance</w:t>
      </w:r>
    </w:p>
    <w:p>
      <w:pPr>
        <w:spacing w:after="120" w:line="276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This policy is reviewed at least annually and after any significant change to the business, technology environment, threat landscape, or applicable legal/regulatory requirements. Material changes are re-approved and communicated to affected personnel.</w:t>
      </w:r>
    </w:p>
    <w:p>
      <w:pPr>
        <w:spacing w:after="120" w:before="200"/>
      </w:pPr>
    </w:p>
    <w:tbl>
      <w:tblPr>
        <w:tblW w:type="dxa" w:w="9360"/>
        <w:tblBorders>
          <w:top w:val="single" w:color="D7DEE5" w:sz="4"/>
          <w:left w:val="single" w:color="2BD6E6" w:sz="24"/>
          <w:bottom w:val="single" w:color="D7DEE5" w:sz="4"/>
          <w:right w:val="single" w:color="D7DEE5" w:sz="4"/>
          <w:insideH w:val="none"/>
          <w:insideV w:val="none"/>
        </w:tblBorders>
      </w:tblPr>
      <w:tblGrid>
        <w:gridCol w:w="9360"/>
      </w:tblGrid>
      <w:tr>
        <w:tc>
          <w:tcPr>
            <w:shd w:fill="EEF4F9" w:color="auto" w:val="clear"/>
            <w:tcMar>
              <w:top w:type="dxa" w:w="130"/>
              <w:left w:type="dxa" w:w="190"/>
              <w:bottom w:type="dxa" w:w="130"/>
              <w:right w:type="dxa" w:w="190"/>
            </w:tcMar>
          </w:tcPr>
          <w:p>
            <w:pPr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17517D"/>
                <w:sz w:val="20"/>
                <w:szCs w:val="20"/>
              </w:rPr>
              <w:t xml:space="preserve">Alignment — SOC 2</w:t>
            </w:r>
          </w:p>
          <w:p>
            <w:pPr>
              <w:spacing w:after="40" w:line="262"/>
            </w:pPr>
            <w:r>
              <w:rPr>
                <w:rFonts w:ascii="Calibri" w:cs="Calibri" w:eastAsia="Calibri" w:hAnsi="Calibri"/>
                <w:color w:val="1B2733"/>
                <w:sz w:val="20"/>
                <w:szCs w:val="20"/>
              </w:rPr>
              <w:t xml:space="preserve">Fulfills the incident detection, response, and reporting requirements of SOC 2.</w:t>
            </w:r>
          </w:p>
          <w:p>
            <w:pPr>
              <w:spacing w:after="40" w:line="262"/>
            </w:pPr>
            <w:r>
              <w:rPr>
                <w:rFonts w:ascii="Calibri" w:cs="Calibri" w:eastAsia="Calibri" w:hAnsi="Calibri"/>
                <w:color w:val="1B2733"/>
                <w:sz w:val="20"/>
                <w:szCs w:val="20"/>
              </w:rPr>
              <w:t xml:space="preserve">Maps to: SOC 2 Trust Services Criteria.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D7DEE5" w:sz="4"/>
          <w:left w:val="single" w:color="2BD6E6" w:sz="24"/>
          <w:bottom w:val="single" w:color="D7DEE5" w:sz="4"/>
          <w:right w:val="single" w:color="D7DEE5" w:sz="4"/>
          <w:insideH w:val="none"/>
          <w:insideV w:val="none"/>
        </w:tblBorders>
      </w:tblPr>
      <w:tblGrid>
        <w:gridCol w:w="9360"/>
      </w:tblGrid>
      <w:tr>
        <w:tc>
          <w:tcPr>
            <w:shd w:fill="EEF4F9" w:color="auto" w:val="clear"/>
            <w:tcMar>
              <w:top w:type="dxa" w:w="130"/>
              <w:left w:type="dxa" w:w="190"/>
              <w:bottom w:type="dxa" w:w="130"/>
              <w:right w:type="dxa" w:w="190"/>
            </w:tcMar>
          </w:tcPr>
          <w:p>
            <w:pPr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17517D"/>
                <w:sz w:val="20"/>
                <w:szCs w:val="20"/>
              </w:rPr>
              <w:t xml:space="preserve">How to use this template</w:t>
            </w:r>
          </w:p>
          <w:p>
            <w:pPr>
              <w:spacing w:after="40" w:line="262"/>
            </w:pPr>
            <w:r>
              <w:rPr>
                <w:rFonts w:ascii="Calibri" w:cs="Calibri" w:eastAsia="Calibri" w:hAnsi="Calibri"/>
                <w:color w:val="1B2733"/>
                <w:sz w:val="20"/>
                <w:szCs w:val="20"/>
              </w:rPr>
              <w:t xml:space="preserve">Replace every [bracketed] placeholder with your organization’s specifics.</w:t>
            </w:r>
          </w:p>
          <w:p>
            <w:pPr>
              <w:spacing w:after="40" w:line="262"/>
            </w:pPr>
            <w:r>
              <w:rPr>
                <w:rFonts w:ascii="Calibri" w:cs="Calibri" w:eastAsia="Calibri" w:hAnsi="Calibri"/>
                <w:color w:val="1B2733"/>
                <w:sz w:val="20"/>
                <w:szCs w:val="20"/>
              </w:rPr>
              <w:t xml:space="preserve">Delete guidance that doesn’t apply and add controls specific to your environment.</w:t>
            </w:r>
          </w:p>
          <w:p>
            <w:pPr>
              <w:spacing w:after="40" w:line="262"/>
            </w:pPr>
            <w:r>
              <w:rPr>
                <w:rFonts w:ascii="Calibri" w:cs="Calibri" w:eastAsia="Calibri" w:hAnsi="Calibri"/>
                <w:color w:val="1B2733"/>
                <w:sz w:val="20"/>
                <w:szCs w:val="20"/>
              </w:rPr>
              <w:t xml:space="preserve">Have the policy owner and an approver sign off, then publish and communicate it.</w:t>
            </w:r>
          </w:p>
          <w:p>
            <w:pPr>
              <w:spacing w:after="40" w:line="262"/>
            </w:pPr>
            <w:r>
              <w:rPr>
                <w:rFonts w:ascii="Calibri" w:cs="Calibri" w:eastAsia="Calibri" w:hAnsi="Calibri"/>
                <w:color w:val="1B2733"/>
                <w:sz w:val="20"/>
                <w:szCs w:val="20"/>
              </w:rPr>
              <w:t xml:space="preserve">This template paraphrases common practice and the referenced framework for guidance only — it is not legal advice. Review with qualified counsel and your auditor.</w:t>
            </w:r>
          </w:p>
        </w:tc>
      </w:tr>
    </w:tbl>
    <w:p>
      <w:pPr>
        <w:pBdr>
          <w:top w:val="single" w:color="D7DEE5" w:sz="6" w:space="6"/>
        </w:pBdr>
        <w:spacing w:before="280"/>
      </w:pPr>
      <w:r>
        <w:rPr>
          <w:rFonts w:ascii="Calibri" w:cs="Calibri" w:eastAsia="Calibri" w:hAnsi="Calibri"/>
          <w:color w:val="5C6E80"/>
          <w:sz w:val="16"/>
          <w:szCs w:val="16"/>
        </w:rPr>
        <w:t xml:space="preserve">© My CISO Partner · SOC 2 Toolkit · Incident Response Policy v1.0 · Template for [Company Name]</w:t>
      </w:r>
    </w:p>
    <w:sectPr>
      <w:headerReference w:type="default" r:id="rId7"/>
      <w:footerReference w:type="default" r:id="rId8"/>
      <w:pgSz w:w="12240" w:h="15840" w:orient="portrait"/>
      <w:pgMar w:top="12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C6E80"/>
        <w:sz w:val="15"/>
        <w:szCs w:val="15"/>
      </w:rPr>
      <w:t xml:space="preserve">My CISO Partner   ·   [Company Name] — Internal   ·   </w:t>
    </w:r>
    <w:r>
      <w:rPr>
        <w:rFonts w:ascii="Calibri" w:cs="Calibri" w:eastAsia="Calibri" w:hAnsi="Calibri"/>
        <w:color w:val="5C6E8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5C6E80"/>
        <w:sz w:val="15"/>
        <w:szCs w:val="15"/>
      </w:rPr>
      <w:t xml:space="preserve">SOC 2 Toolkit · Incident Response Policy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40" w:hanging="240"/>
      </w:pPr>
      <w:rPr>
        <w:color w:val="17517D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733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 Response Policy — SOC 2</dc:title>
  <dc:creator>My CISO Partner</dc:creator>
  <cp:lastModifiedBy>Un-named</cp:lastModifiedBy>
  <cp:revision>1</cp:revision>
  <dcterms:created xsi:type="dcterms:W3CDTF">2026-09-06T14:13:03.219Z</dcterms:created>
  <dcterms:modified xsi:type="dcterms:W3CDTF">2026-09-06T14:13:03.219Z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