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500"/>
      </w:pPr>
      <w:r>
        <w:rPr>
          <w:rFonts w:ascii="Calibri" w:cs="Calibri" w:eastAsia="Calibri" w:hAnsi="Calibri"/>
          <w:b/>
          <w:bCs/>
          <w:color w:val="17517D"/>
          <w:spacing w:val="40"/>
          <w:sz w:val="18"/>
          <w:szCs w:val="18"/>
        </w:rPr>
        <w:t xml:space="preserve">MY CISO PARTNER  ·  SOC 2 TOOLKIT</w:t>
      </w:r>
    </w:p>
    <w:p>
      <w:pPr>
        <w:pBdr>
          <w:bottom w:val="single" w:color="2BD6E6" w:sz="18" w:space="8"/>
        </w:pBdr>
        <w:spacing w:after="240" w:before="200"/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0E3656"/>
          <w:sz w:val="46"/>
          <w:szCs w:val="46"/>
        </w:rPr>
        <w:t xml:space="preserve">Access Control Policy</w:t>
      </w:r>
    </w:p>
    <w:p>
      <w:pPr>
        <w:spacing w:after="40"/>
      </w:pPr>
      <w:r>
        <w:rPr>
          <w:rFonts w:ascii="Calibri" w:cs="Calibri" w:eastAsia="Calibri" w:hAnsi="Calibri"/>
          <w:color w:val="1B2733"/>
          <w:sz w:val="23"/>
          <w:szCs w:val="23"/>
        </w:rPr>
        <w:t xml:space="preserve">Policy Template</w:t>
      </w:r>
    </w:p>
    <w:p>
      <w:pPr>
        <w:spacing w:after="600"/>
      </w:pPr>
      <w:r>
        <w:rPr>
          <w:rFonts w:ascii="Calibri" w:cs="Calibri" w:eastAsia="Calibri" w:hAnsi="Calibri"/>
          <w:b/>
          <w:bCs/>
          <w:color w:val="17517D"/>
          <w:sz w:val="19"/>
          <w:szCs w:val="19"/>
        </w:rPr>
        <w:t xml:space="preserve">SOC 2 · aligned to SOC 2 Trust Services Criteria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[Company Name]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[Policy Owner / Role]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[Approver / Title]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Next review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[Review Date — at least annually]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Classification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Internal</w:t>
            </w:r>
          </w:p>
        </w:tc>
      </w:tr>
    </w:tbl>
    <w:p>
      <w:r>
        <w:br w:type="page"/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1. Purpose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establishes requirements for granting, reviewing, and revoking access to [Company Name] information systems and data, based on least privilege and need-to-know.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2. Scope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applies to all employees, contractors, consultants, temporary staff, and third parties who access [Company Name] information, systems, applications, or facilities, and to all information assets owned or operated by the organization regardless of location or format.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3. Policy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Access principles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Access is granted on a least-privilege, need-to-know basis and is tied to a documented business role.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Each user has a unique identifier; shared or generic accounts are prohibited except where formally approved with compensating controls.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Privileged and administrative access is restricted, individually assigned, and closely monitored.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Provisioning &amp; de-provisioning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Access is requested and approved through a documented process before it is granted.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Access is granted promptly on hire/role change and revoked promptly on termination or role change (target: within [one business day]).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Access rights are reviewed at least [quarterly] for privileged accounts and [semi-annually] for standard accounts; discrepancies are remediated.</w:t>
      </w:r>
    </w:p>
    <w:p>
      <w:pPr>
        <w:pStyle w:val="Heading2"/>
        <w:spacing w:after="70" w:before="220"/>
      </w:pPr>
      <w:r>
        <w:rPr>
          <w:rFonts w:ascii="Calibri" w:cs="Calibri" w:eastAsia="Calibri" w:hAnsi="Calibri"/>
          <w:b/>
          <w:bCs/>
          <w:color w:val="17517D"/>
          <w:sz w:val="23"/>
          <w:szCs w:val="23"/>
        </w:rPr>
        <w:t xml:space="preserve">Authentication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Multi-factor authentication is required for remote access, administrative access, and access to sensitive systems.</w:t>
      </w:r>
    </w:p>
    <w:p>
      <w:pPr>
        <w:pStyle w:val="ListParagraph"/>
        <w:numPr>
          <w:ilvl w:val="0"/>
          <w:numId w:val="2"/>
        </w:numPr>
        <w:spacing w:after="55" w:line="262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Authentication requirements are defined in the Password &amp; Authentication Policy.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4. Roles &amp; Responsibilities</w:t>
      </w:r>
    </w:p>
    <w:tbl>
      <w:tblPr>
        <w:tblW w:type="dxa" w:w="9360"/>
        <w:tblBorders>
          <w:top w:val="single" w:color="D7DEE5" w:sz="4"/>
          <w:left w:val="single" w:color="D7DEE5" w:sz="4"/>
          <w:bottom w:val="single" w:color="D7DEE5" w:sz="4"/>
          <w:right w:val="single" w:color="D7DEE5" w:sz="4"/>
          <w:insideH w:val="single" w:color="D7DEE5" w:sz="4"/>
          <w:insideV w:val="single" w:color="D7DEE5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360"/>
            <w:shd w:fill="17517D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Responsibility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Maintains this policy, approves exceptions, and ensures it stays current.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Management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Provides resources and enforces the policy within their teams.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All personnel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Read, understand, and comply with this policy; report violations and incidents.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Information security</w:t>
            </w:r>
          </w:p>
        </w:tc>
        <w:tc>
          <w:tcPr>
            <w:tcW w:type="dxa" w:w="63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line="248"/>
            </w:pPr>
            <w:r>
              <w:rPr>
                <w:rFonts w:ascii="Calibri" w:cs="Calibri" w:eastAsia="Calibri" w:hAnsi="Calibri"/>
                <w:color w:val="1B2733"/>
                <w:sz w:val="18"/>
                <w:szCs w:val="18"/>
              </w:rPr>
              <w:t xml:space="preserve">Monitors compliance, advises on controls, and supports investigations.</w:t>
            </w:r>
          </w:p>
        </w:tc>
      </w:tr>
    </w:tbl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5. Compliance &amp; Enforcement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Compliance with this policy is mandatory. The [Policy Owner / Information Security] function will verify compliance through reviews, audits, and monitoring. Violations may result in disciplinary action up to and including termination of employment or contract, and — where applicable — civil or criminal penalties.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6. Exceptions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Any exception to this policy must be requested in writing, include a business justification and compensating controls, be risk-assessed, and be approved by the [Policy Owner] (and [CISO / senior management] for high-risk exceptions). Approved exceptions are documented, time-bound, and reviewed at least [annually].</w:t>
      </w:r>
    </w:p>
    <w:p>
      <w:pPr>
        <w:pStyle w:val="Heading1"/>
        <w:spacing w:after="110" w:before="300"/>
      </w:pPr>
      <w:r>
        <w:rPr>
          <w:rFonts w:ascii="Calibri" w:cs="Calibri" w:eastAsia="Calibri" w:hAnsi="Calibri"/>
          <w:b/>
          <w:bCs/>
          <w:color w:val="0E3656"/>
          <w:sz w:val="27"/>
          <w:szCs w:val="27"/>
        </w:rPr>
        <w:t xml:space="preserve">7. Review &amp; Maintenance</w:t>
      </w:r>
    </w:p>
    <w:p>
      <w:pPr>
        <w:spacing w:after="120" w:line="276"/>
      </w:pPr>
      <w:r>
        <w:rPr>
          <w:rFonts w:ascii="Calibri" w:cs="Calibri" w:eastAsia="Calibri" w:hAnsi="Calibri"/>
          <w:color w:val="1B2733"/>
          <w:sz w:val="21"/>
          <w:szCs w:val="21"/>
        </w:rPr>
        <w:t xml:space="preserve">This policy is reviewed at least annually and after any significant change to the business, technology environment, threat landscape, or applicable legal/regulatory requirements. Material changes are re-approved and communicated to affected personnel.</w:t>
      </w:r>
    </w:p>
    <w:p>
      <w:pPr>
        <w:spacing w:after="120" w:before="20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Alignment — SOC 2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Directly supports the identity and access-management controls central to SOC 2.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Maps to: SOC 2 Trust Services Criteria.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D7DEE5" w:sz="4"/>
          <w:left w:val="single" w:color="2BD6E6" w:sz="24"/>
          <w:bottom w:val="single" w:color="D7DEE5" w:sz="4"/>
          <w:right w:val="single" w:color="D7DEE5" w:sz="4"/>
          <w:insideH w:val="none"/>
          <w:insideV w:val="none"/>
        </w:tblBorders>
      </w:tblPr>
      <w:tblGrid>
        <w:gridCol w:w="9360"/>
      </w:tblGrid>
      <w:tr>
        <w:tc>
          <w:tcPr>
            <w:shd w:fill="EEF4F9" w:color="auto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17517D"/>
                <w:sz w:val="20"/>
                <w:szCs w:val="20"/>
              </w:rPr>
              <w:t xml:space="preserve">How to use this template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Replace every [bracketed] placeholder with your organization’s specifics.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Delete guidance that doesn’t apply and add controls specific to your environment.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Have the policy owner and an approver sign off, then publish and communicate it.</w:t>
            </w:r>
          </w:p>
          <w:p>
            <w:pPr>
              <w:spacing w:after="40" w:line="262"/>
            </w:pPr>
            <w:r>
              <w:rPr>
                <w:rFonts w:ascii="Calibri" w:cs="Calibri" w:eastAsia="Calibri" w:hAnsi="Calibri"/>
                <w:color w:val="1B2733"/>
                <w:sz w:val="20"/>
                <w:szCs w:val="20"/>
              </w:rPr>
              <w:t xml:space="preserve">This template paraphrases common practice and the referenced framework for guidance only — it is not legal advice. Review with qualified counsel and your auditor.</w:t>
            </w:r>
          </w:p>
        </w:tc>
      </w:tr>
    </w:tbl>
    <w:p>
      <w:pPr>
        <w:pBdr>
          <w:top w:val="single" w:color="D7DEE5" w:sz="6" w:space="6"/>
        </w:pBdr>
        <w:spacing w:before="280"/>
      </w:pPr>
      <w:r>
        <w:rPr>
          <w:rFonts w:ascii="Calibri" w:cs="Calibri" w:eastAsia="Calibri" w:hAnsi="Calibri"/>
          <w:color w:val="5C6E80"/>
          <w:sz w:val="16"/>
          <w:szCs w:val="16"/>
        </w:rPr>
        <w:t xml:space="preserve">© My CISO Partner · SOC 2 Toolkit · Access Control Policy v1.0 · Template for [Company Name]</w:t>
      </w:r>
    </w:p>
    <w:sectPr>
      <w:headerReference w:type="default" r:id="rId7"/>
      <w:footerReference w:type="default" r:id="rId8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C6E80"/>
        <w:sz w:val="15"/>
        <w:szCs w:val="15"/>
      </w:rPr>
      <w:t xml:space="preserve">My CISO Partner   ·   [Company Name] — Internal   ·   </w:t>
    </w:r>
    <w:r>
      <w:rPr>
        <w:rFonts w:ascii="Calibri" w:cs="Calibri" w:eastAsia="Calibri" w:hAnsi="Calibri"/>
        <w:color w:val="5C6E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C6E80"/>
        <w:sz w:val="15"/>
        <w:szCs w:val="15"/>
      </w:rPr>
      <w:t xml:space="preserve">SOC 2 Toolkit · Access Control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40"/>
      </w:pPr>
      <w:rPr>
        <w:color w:val="17517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Control Policy — SOC 2</dc:title>
  <dc:creator>My CISO Partner</dc:creator>
  <cp:lastModifiedBy>Un-named</cp:lastModifiedBy>
  <cp:revision>1</cp:revision>
  <dcterms:created xsi:type="dcterms:W3CDTF">2026-09-06T14:13:03.087Z</dcterms:created>
  <dcterms:modified xsi:type="dcterms:W3CDTF">2026-09-06T14:13:03.087Z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